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B67AA" w14:textId="77777777" w:rsidR="007D504A" w:rsidRDefault="00CE30C1">
      <w:pPr>
        <w:spacing w:before="95" w:line="244" w:lineRule="auto"/>
        <w:ind w:left="7830" w:right="98" w:hanging="180"/>
        <w:jc w:val="both"/>
        <w:rPr>
          <w:sz w:val="19"/>
          <w:szCs w:val="19"/>
        </w:rPr>
      </w:pPr>
      <w:r>
        <w:rPr>
          <w:b/>
          <w:color w:val="231F20"/>
          <w:sz w:val="19"/>
          <w:szCs w:val="19"/>
        </w:rPr>
        <w:t xml:space="preserve">CONTACTO: </w:t>
      </w:r>
      <w:r>
        <w:rPr>
          <w:color w:val="231F20"/>
          <w:sz w:val="19"/>
          <w:szCs w:val="19"/>
        </w:rPr>
        <w:t>[</w:t>
      </w:r>
      <w:r>
        <w:rPr>
          <w:color w:val="BC202E"/>
          <w:sz w:val="19"/>
          <w:szCs w:val="19"/>
        </w:rPr>
        <w:t>INCLUIR NOMBRE</w:t>
      </w:r>
      <w:r>
        <w:rPr>
          <w:color w:val="231F20"/>
          <w:sz w:val="19"/>
          <w:szCs w:val="19"/>
        </w:rPr>
        <w:t>] [</w:t>
      </w:r>
      <w:r>
        <w:rPr>
          <w:color w:val="BC202E"/>
          <w:sz w:val="19"/>
          <w:szCs w:val="19"/>
        </w:rPr>
        <w:t>INCLUIR TELÉFONO</w:t>
      </w:r>
      <w:r>
        <w:rPr>
          <w:color w:val="231F20"/>
          <w:sz w:val="19"/>
          <w:szCs w:val="19"/>
        </w:rPr>
        <w:t>] [</w:t>
      </w:r>
      <w:r>
        <w:rPr>
          <w:color w:val="BC202E"/>
          <w:sz w:val="19"/>
          <w:szCs w:val="19"/>
        </w:rPr>
        <w:t>INCLUIR CORREO ELECTRÓNICO</w:t>
      </w:r>
      <w:r>
        <w:rPr>
          <w:color w:val="231F20"/>
          <w:sz w:val="19"/>
          <w:szCs w:val="19"/>
        </w:rPr>
        <w:t>]</w:t>
      </w:r>
    </w:p>
    <w:p w14:paraId="14949E28" w14:textId="77777777" w:rsidR="007D504A" w:rsidRDefault="007D504A">
      <w:pPr>
        <w:widowControl/>
        <w:jc w:val="center"/>
        <w:rPr>
          <w:sz w:val="24"/>
          <w:szCs w:val="24"/>
        </w:rPr>
      </w:pPr>
      <w:bookmarkStart w:id="0" w:name="_heading=h.uhge8ptiprx1" w:colFirst="0" w:colLast="0"/>
      <w:bookmarkEnd w:id="0"/>
    </w:p>
    <w:p w14:paraId="24841D41" w14:textId="77777777" w:rsidR="007D504A" w:rsidRDefault="00CE30C1">
      <w:pPr>
        <w:widowControl/>
        <w:jc w:val="center"/>
        <w:rPr>
          <w:sz w:val="24"/>
          <w:szCs w:val="24"/>
        </w:rPr>
      </w:pPr>
      <w:bookmarkStart w:id="1" w:name="_heading=h.655tx6mdz4ds" w:colFirst="0" w:colLast="0"/>
      <w:bookmarkEnd w:id="1"/>
      <w:r>
        <w:rPr>
          <w:noProof/>
          <w:sz w:val="24"/>
          <w:szCs w:val="24"/>
          <w:lang w:val="en-US"/>
        </w:rPr>
        <w:drawing>
          <wp:inline distT="114300" distB="114300" distL="114300" distR="114300" wp14:anchorId="6B114FA2" wp14:editId="1228F483">
            <wp:extent cx="1866900" cy="674914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678" cy="677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630D58" w14:textId="77777777" w:rsidR="00D43520" w:rsidRDefault="00D43520">
      <w:pPr>
        <w:rPr>
          <w:b/>
        </w:rPr>
      </w:pPr>
    </w:p>
    <w:p w14:paraId="2203D4CB" w14:textId="77777777" w:rsidR="007D504A" w:rsidRDefault="00CE30C1">
      <w:pPr>
        <w:jc w:val="center"/>
        <w:rPr>
          <w:b/>
        </w:rPr>
      </w:pPr>
      <w:r>
        <w:rPr>
          <w:b/>
        </w:rPr>
        <w:t>[</w:t>
      </w:r>
      <w:r>
        <w:rPr>
          <w:b/>
          <w:color w:val="C00000"/>
        </w:rPr>
        <w:t>ORGANIZACIÓN y SOCIOS COMUNITARIOS</w:t>
      </w:r>
      <w:r>
        <w:rPr>
          <w:b/>
        </w:rPr>
        <w:t xml:space="preserve">] ORGANIZAN LA SEGUNDA EDICIÓN ANUAL DEL EVENTO </w:t>
      </w:r>
      <w:r>
        <w:rPr>
          <w:b/>
          <w:i/>
        </w:rPr>
        <w:t xml:space="preserve">HEALTHY SNACK DAY </w:t>
      </w:r>
      <w:r>
        <w:rPr>
          <w:b/>
        </w:rPr>
        <w:t xml:space="preserve"> </w:t>
      </w:r>
    </w:p>
    <w:p w14:paraId="080731E9" w14:textId="77777777" w:rsidR="007D504A" w:rsidRDefault="007D504A">
      <w:pPr>
        <w:pStyle w:val="Heading2"/>
        <w:ind w:left="0"/>
        <w:jc w:val="center"/>
        <w:rPr>
          <w:color w:val="231F20"/>
        </w:rPr>
      </w:pPr>
    </w:p>
    <w:p w14:paraId="17127A09" w14:textId="77777777" w:rsidR="007D504A" w:rsidRDefault="00CE30C1">
      <w:pPr>
        <w:pStyle w:val="Heading2"/>
        <w:ind w:left="0"/>
        <w:jc w:val="center"/>
        <w:rPr>
          <w:rFonts w:ascii="Arial" w:eastAsia="Arial" w:hAnsi="Arial" w:cs="Arial"/>
          <w:color w:val="231F20"/>
        </w:rPr>
      </w:pPr>
      <w:r>
        <w:t>Actividades Divertidas</w:t>
      </w:r>
      <w:r>
        <w:rPr>
          <w:color w:val="231F20"/>
        </w:rPr>
        <w:t xml:space="preserve"> Ayudan a </w:t>
      </w:r>
      <w:r>
        <w:rPr>
          <w:rFonts w:ascii="Arial" w:eastAsia="Arial" w:hAnsi="Arial" w:cs="Arial"/>
          <w:color w:val="231F20"/>
        </w:rPr>
        <w:t>[</w:t>
      </w:r>
      <w:r>
        <w:rPr>
          <w:rFonts w:ascii="Arial" w:eastAsia="Arial" w:hAnsi="Arial" w:cs="Arial"/>
          <w:color w:val="BC202E"/>
        </w:rPr>
        <w:t>APODO PARA RESIDENTES LOCALES</w:t>
      </w:r>
      <w:r>
        <w:rPr>
          <w:rFonts w:ascii="Arial" w:eastAsia="Arial" w:hAnsi="Arial" w:cs="Arial"/>
          <w:color w:val="231F20"/>
        </w:rPr>
        <w:t>] a Aprender Sobre los Beneficios de Comer Snacks Saludables</w:t>
      </w:r>
    </w:p>
    <w:p w14:paraId="3AE05C33" w14:textId="77777777" w:rsidR="007D504A" w:rsidRDefault="00CE30C1">
      <w:pPr>
        <w:pStyle w:val="Heading2"/>
        <w:ind w:left="0"/>
        <w:rPr>
          <w:color w:val="231F20"/>
        </w:rPr>
      </w:pPr>
      <w:r>
        <w:t xml:space="preserve">     </w:t>
      </w:r>
    </w:p>
    <w:p w14:paraId="4C3DDB75" w14:textId="77777777" w:rsidR="007D504A" w:rsidRDefault="00CE30C1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Arial-BoldItalicMT" w:eastAsia="Arial-BoldItalicMT" w:hAnsi="Arial-BoldItalicMT" w:cs="Arial-BoldItalicMT"/>
          <w:b/>
          <w:i/>
          <w:color w:val="000000"/>
          <w:sz w:val="10"/>
          <w:szCs w:val="10"/>
        </w:rPr>
      </w:pPr>
      <w:r>
        <w:t xml:space="preserve">     </w:t>
      </w:r>
    </w:p>
    <w:p w14:paraId="7C18E38E" w14:textId="77777777" w:rsidR="007D504A" w:rsidRDefault="00CE30C1">
      <w:pPr>
        <w:pBdr>
          <w:top w:val="nil"/>
          <w:left w:val="nil"/>
          <w:bottom w:val="nil"/>
          <w:right w:val="nil"/>
          <w:between w:val="nil"/>
        </w:pBdr>
        <w:tabs>
          <w:tab w:val="left" w:pos="2292"/>
        </w:tabs>
        <w:ind w:left="1551" w:right="209" w:hanging="1441"/>
      </w:pPr>
      <w:r>
        <w:rPr>
          <w:b/>
          <w:color w:val="231F20"/>
        </w:rPr>
        <w:t>QUÉ:</w:t>
      </w:r>
      <w:r>
        <w:rPr>
          <w:b/>
          <w:color w:val="231F20"/>
        </w:rPr>
        <w:tab/>
      </w:r>
      <w:r>
        <w:rPr>
          <w:color w:val="231F20"/>
        </w:rPr>
        <w:t xml:space="preserve">Adultos y niños están invitados a la segunda edición anual de </w:t>
      </w:r>
      <w:proofErr w:type="spellStart"/>
      <w:r>
        <w:rPr>
          <w:i/>
          <w:color w:val="231F20"/>
        </w:rPr>
        <w:t>Healthy</w:t>
      </w:r>
      <w:proofErr w:type="spellEnd"/>
      <w:r>
        <w:rPr>
          <w:i/>
          <w:color w:val="231F20"/>
        </w:rPr>
        <w:t xml:space="preserve"> Snack Day </w:t>
      </w:r>
      <w:r>
        <w:rPr>
          <w:color w:val="231F20"/>
        </w:rPr>
        <w:t>el [</w:t>
      </w:r>
      <w:r>
        <w:rPr>
          <w:color w:val="BC202E"/>
        </w:rPr>
        <w:t>FECHA</w:t>
      </w:r>
      <w:r>
        <w:rPr>
          <w:color w:val="231F20"/>
        </w:rPr>
        <w:t>], un Día Estatal de Acción para ayudar a los californianos aprender a tomar decisiones saludables en cuanto a snacks, como parte de una dieta balanceada. Actividades interactivas les mostrarán cómo azúcares agregadas, grasas saturadas y el sodio pueden estar en nuestras opciones de snacks y cómo hacer snacks saludables, dentro y fuera de casa. Participantes aprenderán sobre recetas para satisfacer sus antojos favoritos, llevar a casa tarjetas con recetas y hacer el compromiso de elegir snacks saludables [</w:t>
      </w:r>
      <w:r>
        <w:rPr>
          <w:color w:val="BC202E"/>
        </w:rPr>
        <w:t>EDITAR PARA SER RELEVANTE A SUS ACTIVIDADES</w:t>
      </w:r>
      <w:r>
        <w:t xml:space="preserve">]. Visita HealthySnackDay.com para más información. </w:t>
      </w:r>
    </w:p>
    <w:p w14:paraId="61DEA66F" w14:textId="77777777" w:rsidR="007D504A" w:rsidRDefault="00CE30C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0"/>
          <w:szCs w:val="10"/>
        </w:rPr>
      </w:pPr>
      <w:r>
        <w:t xml:space="preserve">     </w:t>
      </w:r>
    </w:p>
    <w:p w14:paraId="35A3E73D" w14:textId="77777777" w:rsidR="007D504A" w:rsidRDefault="00CE30C1">
      <w:pPr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spacing w:before="1" w:line="242" w:lineRule="auto"/>
        <w:ind w:left="1501" w:right="223" w:hanging="1384"/>
        <w:rPr>
          <w:color w:val="000000"/>
        </w:rPr>
      </w:pPr>
      <w:r>
        <w:rPr>
          <w:b/>
          <w:color w:val="231F20"/>
        </w:rPr>
        <w:t>VISUALES:</w:t>
      </w:r>
      <w:r>
        <w:rPr>
          <w:b/>
          <w:color w:val="231F20"/>
        </w:rPr>
        <w:tab/>
      </w:r>
      <w:r>
        <w:rPr>
          <w:color w:val="231F20"/>
        </w:rPr>
        <w:t>Adultos, niños y familias disfrutan de actividades interactivas que incluyen: [</w:t>
      </w:r>
      <w:r>
        <w:rPr>
          <w:color w:val="C00000"/>
        </w:rPr>
        <w:t>EDITAR COMO SEA RELEVANTE</w:t>
      </w:r>
      <w:r>
        <w:rPr>
          <w:color w:val="231F20"/>
        </w:rPr>
        <w:t>]</w:t>
      </w:r>
    </w:p>
    <w:p w14:paraId="6BEACCC0" w14:textId="77777777" w:rsidR="007D504A" w:rsidRDefault="00CE30C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811"/>
        </w:tabs>
        <w:spacing w:before="8"/>
        <w:ind w:left="2160" w:right="1225"/>
        <w:rPr>
          <w:rFonts w:ascii="Times New Roman" w:eastAsia="Times New Roman" w:hAnsi="Times New Roman" w:cs="Times New Roman"/>
          <w:color w:val="231F20"/>
        </w:rPr>
      </w:pPr>
      <w:r>
        <w:t xml:space="preserve">Armar un Buscador de Snacks en </w:t>
      </w:r>
      <w:proofErr w:type="spellStart"/>
      <w:r>
        <w:rPr>
          <w:color w:val="000000"/>
        </w:rPr>
        <w:t>Origami</w:t>
      </w:r>
      <w:proofErr w:type="spellEnd"/>
      <w:r>
        <w:rPr>
          <w:color w:val="000000"/>
        </w:rPr>
        <w:t xml:space="preserve"> </w:t>
      </w:r>
      <w:r>
        <w:rPr>
          <w:color w:val="231F20"/>
        </w:rPr>
        <w:t xml:space="preserve">– Un juego de papel doblado para niños que promueve snacks saludables basado en sus antojos favoritos – dulce, salado, crujiente, picante – e incluye tarjetas con recetas para llevar a casa. </w:t>
      </w:r>
    </w:p>
    <w:p w14:paraId="29BDC76E" w14:textId="77777777" w:rsidR="007D504A" w:rsidRDefault="00CE30C1" w:rsidP="00FC44A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811"/>
          <w:tab w:val="left" w:pos="1530"/>
        </w:tabs>
        <w:ind w:left="2160" w:right="1225"/>
        <w:rPr>
          <w:color w:val="000000"/>
        </w:rPr>
      </w:pPr>
      <w:r>
        <w:t xml:space="preserve">Hacer el Compromiso de </w:t>
      </w:r>
      <w:proofErr w:type="spellStart"/>
      <w:r>
        <w:rPr>
          <w:color w:val="000000"/>
        </w:rPr>
        <w:t>Healthy</w:t>
      </w:r>
      <w:proofErr w:type="spellEnd"/>
      <w:r>
        <w:rPr>
          <w:color w:val="000000"/>
        </w:rPr>
        <w:t xml:space="preserve"> Snack Day – Pizarrones y </w:t>
      </w:r>
      <w:proofErr w:type="spellStart"/>
      <w:r>
        <w:rPr>
          <w:color w:val="000000"/>
        </w:rPr>
        <w:t>photo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booths</w:t>
      </w:r>
      <w:proofErr w:type="spellEnd"/>
      <w:r>
        <w:rPr>
          <w:color w:val="000000"/>
        </w:rPr>
        <w:t xml:space="preserve"> permitirán a los asistentes documentar su compromiso de elegir snacks saludables para </w:t>
      </w:r>
      <w:r>
        <w:t>ellos</w:t>
      </w:r>
      <w:r>
        <w:rPr>
          <w:color w:val="000000"/>
        </w:rPr>
        <w:t xml:space="preserve"> mismos y sus familias. </w:t>
      </w:r>
    </w:p>
    <w:p w14:paraId="70988D2B" w14:textId="77777777" w:rsidR="007D504A" w:rsidRDefault="00CE30C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811"/>
        </w:tabs>
        <w:ind w:left="2160" w:right="1225"/>
        <w:rPr>
          <w:color w:val="000000"/>
        </w:rPr>
      </w:pPr>
      <w:r>
        <w:t>Navegar el Buscador de Recetas Personales – Una experiencia digital que ayuda a los usuarios a identificar la receta del snack perfecto basada en sus ingredientes favoritos.</w:t>
      </w:r>
      <w:r>
        <w:rPr>
          <w:color w:val="000000"/>
        </w:rPr>
        <w:t xml:space="preserve"> </w:t>
      </w:r>
    </w:p>
    <w:p w14:paraId="276C8C08" w14:textId="77777777" w:rsidR="007D504A" w:rsidRDefault="007D504A">
      <w:pPr>
        <w:tabs>
          <w:tab w:val="left" w:pos="1493"/>
        </w:tabs>
        <w:ind w:left="111"/>
        <w:rPr>
          <w:b/>
          <w:color w:val="231F20"/>
          <w:sz w:val="10"/>
          <w:szCs w:val="10"/>
        </w:rPr>
      </w:pPr>
    </w:p>
    <w:p w14:paraId="0A44C77B" w14:textId="77777777" w:rsidR="007D504A" w:rsidRDefault="00CE30C1">
      <w:pPr>
        <w:tabs>
          <w:tab w:val="left" w:pos="1493"/>
        </w:tabs>
        <w:ind w:left="111"/>
        <w:rPr>
          <w:color w:val="BC202E"/>
        </w:rPr>
      </w:pPr>
      <w:r>
        <w:rPr>
          <w:b/>
          <w:color w:val="231F20"/>
        </w:rPr>
        <w:t>CUÁNDO:</w:t>
      </w:r>
      <w:r>
        <w:rPr>
          <w:b/>
          <w:color w:val="231F20"/>
        </w:rPr>
        <w:tab/>
      </w:r>
      <w:r>
        <w:rPr>
          <w:color w:val="231F20"/>
        </w:rPr>
        <w:t>[</w:t>
      </w:r>
      <w:r>
        <w:rPr>
          <w:color w:val="BC202E"/>
        </w:rPr>
        <w:t>FECHA</w:t>
      </w:r>
      <w:r>
        <w:rPr>
          <w:color w:val="231F20"/>
        </w:rPr>
        <w:t>] [</w:t>
      </w:r>
      <w:r>
        <w:rPr>
          <w:color w:val="BC202E"/>
        </w:rPr>
        <w:t>HORA – incluyendo las mejores horas para que los medios asistan en caso de que</w:t>
      </w:r>
    </w:p>
    <w:p w14:paraId="0BA5727C" w14:textId="77777777" w:rsidR="007D504A" w:rsidRDefault="00CE30C1">
      <w:pPr>
        <w:tabs>
          <w:tab w:val="left" w:pos="1493"/>
        </w:tabs>
        <w:ind w:left="111"/>
        <w:rPr>
          <w:color w:val="000000"/>
        </w:rPr>
      </w:pPr>
      <w:r>
        <w:rPr>
          <w:color w:val="BC202E"/>
        </w:rPr>
        <w:t xml:space="preserve">                       el evento se lleve a cabo durante varias horas</w:t>
      </w:r>
      <w:r>
        <w:rPr>
          <w:color w:val="231F20"/>
        </w:rPr>
        <w:t>]</w:t>
      </w:r>
    </w:p>
    <w:p w14:paraId="6525A662" w14:textId="77777777" w:rsidR="007D504A" w:rsidRDefault="00CE30C1">
      <w:pPr>
        <w:tabs>
          <w:tab w:val="left" w:pos="1493"/>
        </w:tabs>
        <w:ind w:left="111"/>
        <w:rPr>
          <w:b/>
          <w:color w:val="231F20"/>
          <w:sz w:val="10"/>
          <w:szCs w:val="10"/>
        </w:rPr>
      </w:pPr>
      <w:r>
        <w:t xml:space="preserve">     </w:t>
      </w:r>
    </w:p>
    <w:p w14:paraId="706CE54D" w14:textId="77777777" w:rsidR="007D504A" w:rsidRDefault="00CE30C1">
      <w:pPr>
        <w:tabs>
          <w:tab w:val="left" w:pos="1493"/>
        </w:tabs>
        <w:ind w:left="111"/>
        <w:rPr>
          <w:color w:val="231F20"/>
        </w:rPr>
      </w:pPr>
      <w:r>
        <w:rPr>
          <w:b/>
          <w:color w:val="231F20"/>
        </w:rPr>
        <w:t>DÓNDE:</w:t>
      </w:r>
      <w:r>
        <w:rPr>
          <w:b/>
          <w:color w:val="231F20"/>
        </w:rPr>
        <w:tab/>
      </w:r>
      <w:r>
        <w:rPr>
          <w:color w:val="231F20"/>
        </w:rPr>
        <w:t>[</w:t>
      </w:r>
      <w:r>
        <w:rPr>
          <w:color w:val="BC202E"/>
        </w:rPr>
        <w:t>NOMBRE DE UBICACIÓN</w:t>
      </w:r>
      <w:r>
        <w:rPr>
          <w:color w:val="231F20"/>
        </w:rPr>
        <w:t xml:space="preserve">] </w:t>
      </w:r>
      <w:r>
        <w:t>[</w:t>
      </w:r>
      <w:r>
        <w:rPr>
          <w:color w:val="BC202E"/>
        </w:rPr>
        <w:t>DIRECCIÓN</w:t>
      </w:r>
      <w:r>
        <w:t xml:space="preserve">] </w:t>
      </w:r>
      <w:r>
        <w:rPr>
          <w:color w:val="231F20"/>
        </w:rPr>
        <w:t>[</w:t>
      </w:r>
      <w:r>
        <w:rPr>
          <w:color w:val="BC202E"/>
        </w:rPr>
        <w:t>INFORMACIÓN SOBRE EL ESTACIONAMIENTO</w:t>
      </w:r>
      <w:r>
        <w:rPr>
          <w:color w:val="231F20"/>
        </w:rPr>
        <w:t>]</w:t>
      </w:r>
    </w:p>
    <w:p w14:paraId="1CA5A3CD" w14:textId="77777777" w:rsidR="007D504A" w:rsidRDefault="007D504A">
      <w:pPr>
        <w:tabs>
          <w:tab w:val="left" w:pos="1493"/>
        </w:tabs>
        <w:ind w:left="111"/>
        <w:rPr>
          <w:color w:val="231F20"/>
        </w:rPr>
      </w:pPr>
    </w:p>
    <w:p w14:paraId="1989A772" w14:textId="77777777" w:rsidR="007D504A" w:rsidRDefault="00D43520">
      <w:pPr>
        <w:pBdr>
          <w:top w:val="nil"/>
          <w:left w:val="nil"/>
          <w:bottom w:val="nil"/>
          <w:right w:val="nil"/>
          <w:between w:val="nil"/>
        </w:pBdr>
        <w:tabs>
          <w:tab w:val="left" w:pos="1493"/>
        </w:tabs>
        <w:ind w:right="749"/>
        <w:rPr>
          <w:color w:val="BC202E"/>
        </w:rPr>
      </w:pPr>
      <w:r>
        <w:rPr>
          <w:b/>
          <w:color w:val="231F20"/>
        </w:rPr>
        <w:t xml:space="preserve">  </w:t>
      </w:r>
      <w:r w:rsidR="00CE30C1">
        <w:rPr>
          <w:b/>
          <w:color w:val="231F20"/>
        </w:rPr>
        <w:t>QUIÉNES:</w:t>
      </w:r>
      <w:r w:rsidR="00CE30C1">
        <w:rPr>
          <w:b/>
          <w:color w:val="231F20"/>
        </w:rPr>
        <w:tab/>
      </w:r>
      <w:r w:rsidR="00CE30C1">
        <w:rPr>
          <w:color w:val="231F20"/>
        </w:rPr>
        <w:t>[</w:t>
      </w:r>
      <w:r w:rsidR="00CE30C1">
        <w:rPr>
          <w:color w:val="BC202E"/>
        </w:rPr>
        <w:t xml:space="preserve">LISTA EN VIÑETAS DE CONFERENCISTAS Y FIGURAS PROMINENTES QUE        </w:t>
      </w:r>
    </w:p>
    <w:p w14:paraId="50E98E30" w14:textId="77777777" w:rsidR="007D504A" w:rsidRDefault="00CE30C1">
      <w:pPr>
        <w:pBdr>
          <w:top w:val="nil"/>
          <w:left w:val="nil"/>
          <w:bottom w:val="nil"/>
          <w:right w:val="nil"/>
          <w:between w:val="nil"/>
        </w:pBdr>
        <w:tabs>
          <w:tab w:val="left" w:pos="1493"/>
        </w:tabs>
        <w:ind w:right="749"/>
        <w:rPr>
          <w:color w:val="000000"/>
        </w:rPr>
      </w:pPr>
      <w:r>
        <w:rPr>
          <w:color w:val="BC202E"/>
        </w:rPr>
        <w:t xml:space="preserve">                         ASISTIRÁN AL EVENTO Y QUE ESTARÁN DISPONIBLES PARA ENTREVISTAS</w:t>
      </w:r>
      <w:r>
        <w:rPr>
          <w:color w:val="231F20"/>
        </w:rPr>
        <w:t>]</w:t>
      </w:r>
    </w:p>
    <w:p w14:paraId="2B00B61C" w14:textId="77777777" w:rsidR="007D504A" w:rsidRDefault="007D504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0"/>
          <w:szCs w:val="10"/>
        </w:rPr>
      </w:pPr>
    </w:p>
    <w:p w14:paraId="55570E83" w14:textId="77777777" w:rsidR="007D504A" w:rsidRDefault="00D43520">
      <w:pPr>
        <w:tabs>
          <w:tab w:val="left" w:pos="1530"/>
        </w:tabs>
        <w:rPr>
          <w:b/>
          <w:color w:val="231F20"/>
        </w:rPr>
      </w:pPr>
      <w:r>
        <w:rPr>
          <w:b/>
          <w:color w:val="231F20"/>
        </w:rPr>
        <w:t xml:space="preserve">  </w:t>
      </w:r>
      <w:r w:rsidR="00CE30C1">
        <w:rPr>
          <w:b/>
          <w:color w:val="231F20"/>
        </w:rPr>
        <w:t xml:space="preserve">POR QUÉ:     </w:t>
      </w:r>
      <w:r w:rsidR="00CE30C1">
        <w:rPr>
          <w:color w:val="231F20"/>
        </w:rPr>
        <w:t xml:space="preserve">Estudios han mostrado que: </w:t>
      </w:r>
    </w:p>
    <w:p w14:paraId="07D4963A" w14:textId="38C7710D" w:rsidR="007D504A" w:rsidRDefault="00CE3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2160"/>
        <w:rPr>
          <w:b/>
          <w:color w:val="231F20"/>
        </w:rPr>
      </w:pPr>
      <w:r>
        <w:t xml:space="preserve">Alrededor de tres cuartos de la población </w:t>
      </w:r>
      <w:bookmarkStart w:id="2" w:name="_GoBack"/>
      <w:bookmarkEnd w:id="2"/>
      <w:r w:rsidR="00FC44AB">
        <w:t>en los Estados Unidos</w:t>
      </w:r>
      <w:r>
        <w:t xml:space="preserve"> tiene patrones alimenticios con un consumo bajo en verduras, frutas y lácteos, y que exceden la cantidad recomendada de azúcares agregadas, grasas saturadas y sodio. </w:t>
      </w:r>
      <w:r>
        <w:rPr>
          <w:color w:val="000000"/>
          <w:vertAlign w:val="superscript"/>
        </w:rPr>
        <w:t>1(p.38)</w:t>
      </w:r>
      <w:r>
        <w:rPr>
          <w:color w:val="000000"/>
        </w:rPr>
        <w:t xml:space="preserve"> </w:t>
      </w:r>
    </w:p>
    <w:p w14:paraId="0193F25C" w14:textId="77777777" w:rsidR="007D504A" w:rsidRDefault="00CE3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2160"/>
        <w:rPr>
          <w:b/>
          <w:color w:val="231F20"/>
        </w:rPr>
      </w:pPr>
      <w:r>
        <w:t xml:space="preserve">Hacer cambios hacia un patrón alimenticio saludable y balanceado – incluyendo snack – puede ayudar a satisfacer las necesidades nutricionales, a mantener un peso saludable </w:t>
      </w:r>
      <w:r>
        <w:lastRenderedPageBreak/>
        <w:t>y a disminuir el riesgo de</w:t>
      </w:r>
      <w:r>
        <w:rPr>
          <w:color w:val="000000"/>
        </w:rPr>
        <w:t xml:space="preserve"> enfermedades crónicas.</w:t>
      </w:r>
      <w:r>
        <w:rPr>
          <w:color w:val="000000"/>
          <w:vertAlign w:val="superscript"/>
        </w:rPr>
        <w:t xml:space="preserve"> 1(p.38)</w:t>
      </w:r>
      <w:r>
        <w:rPr>
          <w:color w:val="000000"/>
        </w:rPr>
        <w:t xml:space="preserve"> </w:t>
      </w:r>
    </w:p>
    <w:p w14:paraId="23C56B3F" w14:textId="77777777" w:rsidR="007D504A" w:rsidRDefault="00CE3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2160"/>
        <w:rPr>
          <w:b/>
          <w:color w:val="231F20"/>
        </w:rPr>
      </w:pPr>
      <w:r>
        <w:t>Para los niños es importante tomar decisiones que les ayude a mantener una dieta balanceada – más de un cuarto de las calorías que consumen diariamente provienen de snacks</w:t>
      </w:r>
      <w:r>
        <w:rPr>
          <w:color w:val="000000"/>
        </w:rPr>
        <w:t>.</w:t>
      </w:r>
      <w:r>
        <w:rPr>
          <w:color w:val="000000"/>
          <w:vertAlign w:val="superscript"/>
        </w:rPr>
        <w:t xml:space="preserve">2(p.2) </w:t>
      </w:r>
    </w:p>
    <w:p w14:paraId="67B00FBA" w14:textId="77777777" w:rsidR="007D504A" w:rsidRDefault="00CE3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2160"/>
        <w:rPr>
          <w:b/>
          <w:color w:val="231F20"/>
        </w:rPr>
      </w:pPr>
      <w:bookmarkStart w:id="3" w:name="_heading=h.gjdgxs" w:colFirst="0" w:colLast="0"/>
      <w:bookmarkEnd w:id="3"/>
      <w:r>
        <w:rPr>
          <w:color w:val="000000"/>
        </w:rPr>
        <w:t>[</w:t>
      </w:r>
      <w:r>
        <w:rPr>
          <w:color w:val="C00000"/>
        </w:rPr>
        <w:t>AGREGAR ESTADÍSTICAS LOCALES A ESTA SECCIÓN, SI SON DISPONIBLES</w:t>
      </w:r>
      <w:r>
        <w:rPr>
          <w:color w:val="000000"/>
        </w:rPr>
        <w:t xml:space="preserve">]   </w:t>
      </w:r>
    </w:p>
    <w:p w14:paraId="68582E9E" w14:textId="77777777" w:rsidR="007D504A" w:rsidRDefault="00CE30C1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2160" w:hanging="720"/>
        <w:rPr>
          <w:b/>
          <w:color w:val="231F20"/>
        </w:rPr>
      </w:pPr>
      <w:r>
        <w:t xml:space="preserve">     </w:t>
      </w:r>
    </w:p>
    <w:p w14:paraId="1A01560B" w14:textId="77777777" w:rsidR="007D504A" w:rsidRDefault="00CE30C1">
      <w:pPr>
        <w:pBdr>
          <w:top w:val="nil"/>
          <w:left w:val="nil"/>
          <w:bottom w:val="nil"/>
          <w:right w:val="nil"/>
          <w:between w:val="nil"/>
        </w:pBdr>
        <w:tabs>
          <w:tab w:val="left" w:pos="2292"/>
        </w:tabs>
        <w:ind w:left="110"/>
        <w:rPr>
          <w:color w:val="00000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8390667" wp14:editId="4EB77BD4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1518728" cy="22225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1399" y="3780000"/>
                          <a:ext cx="150920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1518728" cy="2222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728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4E9407" w14:textId="77777777" w:rsidR="007D504A" w:rsidRDefault="00CE30C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Departamento de Salud y Servicios Humanos de EE. UU. y Departamento de Agricultura de EE. UU. </w:t>
      </w:r>
      <w:r>
        <w:rPr>
          <w:i/>
          <w:sz w:val="16"/>
          <w:szCs w:val="16"/>
        </w:rPr>
        <w:t xml:space="preserve">2015–2020 </w:t>
      </w:r>
      <w:proofErr w:type="spellStart"/>
      <w:r>
        <w:rPr>
          <w:i/>
          <w:sz w:val="16"/>
          <w:szCs w:val="16"/>
        </w:rPr>
        <w:t>Dietary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Guidelines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for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Americans</w:t>
      </w:r>
      <w:proofErr w:type="spellEnd"/>
      <w:r>
        <w:rPr>
          <w:sz w:val="16"/>
          <w:szCs w:val="16"/>
        </w:rPr>
        <w:t xml:space="preserve">. </w:t>
      </w:r>
      <w:r>
        <w:rPr>
          <w:i/>
          <w:sz w:val="16"/>
          <w:szCs w:val="16"/>
        </w:rPr>
        <w:t>8va. Edición</w:t>
      </w:r>
      <w:r>
        <w:rPr>
          <w:sz w:val="16"/>
          <w:szCs w:val="16"/>
        </w:rPr>
        <w:t xml:space="preserve">. Diciembre 2015. Disponible en </w:t>
      </w:r>
      <w:hyperlink r:id="rId12">
        <w:r>
          <w:rPr>
            <w:sz w:val="16"/>
            <w:szCs w:val="16"/>
            <w:u w:val="single"/>
          </w:rPr>
          <w:t>http://health.gov/dietaryguidelines/2015/guidelines/</w:t>
        </w:r>
      </w:hyperlink>
      <w:r>
        <w:rPr>
          <w:sz w:val="16"/>
          <w:szCs w:val="16"/>
        </w:rPr>
        <w:t xml:space="preserve">. </w:t>
      </w:r>
    </w:p>
    <w:p w14:paraId="21919494" w14:textId="77777777" w:rsidR="007D504A" w:rsidRDefault="007D504A">
      <w:pPr>
        <w:rPr>
          <w:sz w:val="16"/>
          <w:szCs w:val="16"/>
          <w:vertAlign w:val="superscript"/>
        </w:rPr>
      </w:pPr>
    </w:p>
    <w:p w14:paraId="68FDC8E8" w14:textId="77777777" w:rsidR="007D504A" w:rsidRDefault="00CE30C1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Departamento de Agricultura de EE. UU., Servicio de Salud y Nutrición. </w:t>
      </w:r>
      <w:r w:rsidRPr="00A03A58">
        <w:rPr>
          <w:i/>
          <w:sz w:val="16"/>
          <w:szCs w:val="16"/>
          <w:lang w:val="en-US"/>
        </w:rPr>
        <w:t>A Guide to Smart Snacking in Schools. For School Year 2018 – 2019.</w:t>
      </w:r>
      <w:r w:rsidRPr="00A03A58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 xml:space="preserve">Julio 2016. Disponible en </w:t>
      </w:r>
      <w:hyperlink r:id="rId13">
        <w:r>
          <w:rPr>
            <w:color w:val="000000"/>
            <w:sz w:val="16"/>
            <w:szCs w:val="16"/>
            <w:u w:val="single"/>
          </w:rPr>
          <w:t>https://www.fns.usda.gov/tn/guide-smart-snacks-schools</w:t>
        </w:r>
      </w:hyperlink>
      <w:r>
        <w:rPr>
          <w:sz w:val="16"/>
          <w:szCs w:val="16"/>
        </w:rPr>
        <w:t>.</w:t>
      </w:r>
    </w:p>
    <w:sectPr w:rsidR="007D50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67" w:right="720" w:bottom="513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70C8B" w14:textId="77777777" w:rsidR="00CB455B" w:rsidRDefault="00CB455B">
      <w:r>
        <w:separator/>
      </w:r>
    </w:p>
  </w:endnote>
  <w:endnote w:type="continuationSeparator" w:id="0">
    <w:p w14:paraId="050FF791" w14:textId="77777777" w:rsidR="00CB455B" w:rsidRDefault="00CB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DFC2B" w14:textId="77777777" w:rsidR="007D504A" w:rsidRDefault="00CE30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03A58">
      <w:rPr>
        <w:noProof/>
        <w:color w:val="000000"/>
      </w:rPr>
      <w:t>2</w:t>
    </w:r>
    <w:r>
      <w:rPr>
        <w:color w:val="000000"/>
      </w:rPr>
      <w:fldChar w:fldCharType="end"/>
    </w:r>
  </w:p>
  <w:p w14:paraId="01BFCE66" w14:textId="77777777" w:rsidR="007D504A" w:rsidRDefault="007D50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C9C1" w14:textId="77777777" w:rsidR="007D504A" w:rsidRDefault="00CE30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231F20"/>
        <w:sz w:val="15"/>
        <w:szCs w:val="15"/>
      </w:rPr>
    </w:pPr>
    <w:r>
      <w:t xml:space="preserve">     </w:t>
    </w:r>
  </w:p>
  <w:p w14:paraId="4E70CF5F" w14:textId="77777777" w:rsidR="007D504A" w:rsidRDefault="00CE30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231F20"/>
        <w:sz w:val="15"/>
        <w:szCs w:val="15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08181C9B" wp14:editId="200E2E18">
          <wp:simplePos x="0" y="0"/>
          <wp:positionH relativeFrom="column">
            <wp:posOffset>57153</wp:posOffset>
          </wp:positionH>
          <wp:positionV relativeFrom="paragraph">
            <wp:posOffset>133350</wp:posOffset>
          </wp:positionV>
          <wp:extent cx="1217613" cy="318115"/>
          <wp:effectExtent l="0" t="0" r="0" b="0"/>
          <wp:wrapSquare wrapText="bothSides" distT="114300" distB="11430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7613" cy="318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D05CAE" w14:textId="77777777" w:rsidR="007D504A" w:rsidRDefault="00CE30C1">
    <w:pPr>
      <w:ind w:left="1491" w:right="160"/>
      <w:rPr>
        <w:sz w:val="16"/>
        <w:szCs w:val="16"/>
        <w:highlight w:val="white"/>
      </w:rPr>
    </w:pPr>
    <w:r>
      <w:rPr>
        <w:sz w:val="16"/>
        <w:szCs w:val="16"/>
      </w:rPr>
      <w:t xml:space="preserve">El Departamento de Salud </w:t>
    </w:r>
    <w:proofErr w:type="spellStart"/>
    <w:r>
      <w:rPr>
        <w:sz w:val="16"/>
        <w:szCs w:val="16"/>
      </w:rPr>
      <w:t>Pública</w:t>
    </w:r>
    <w:proofErr w:type="spellEnd"/>
    <w:r>
      <w:rPr>
        <w:sz w:val="16"/>
        <w:szCs w:val="16"/>
      </w:rPr>
      <w:t xml:space="preserve"> de California trabaja con cientos de afiliados y organizaciones para capacitar a los californianos de bajos ingresos para vivir </w:t>
    </w:r>
    <w:proofErr w:type="spellStart"/>
    <w:r>
      <w:rPr>
        <w:sz w:val="16"/>
        <w:szCs w:val="16"/>
      </w:rPr>
      <w:t>más</w:t>
    </w:r>
    <w:proofErr w:type="spellEnd"/>
    <w:r>
      <w:rPr>
        <w:sz w:val="16"/>
        <w:szCs w:val="16"/>
      </w:rPr>
      <w:t xml:space="preserve"> saludablemente por medio de una buena </w:t>
    </w:r>
    <w:proofErr w:type="spellStart"/>
    <w:r>
      <w:rPr>
        <w:sz w:val="16"/>
        <w:szCs w:val="16"/>
      </w:rPr>
      <w:t>nutrición</w:t>
    </w:r>
    <w:proofErr w:type="spellEnd"/>
    <w:r>
      <w:rPr>
        <w:sz w:val="16"/>
        <w:szCs w:val="16"/>
      </w:rPr>
      <w:t xml:space="preserve"> y actividad </w:t>
    </w:r>
    <w:proofErr w:type="spellStart"/>
    <w:r>
      <w:rPr>
        <w:sz w:val="16"/>
        <w:szCs w:val="16"/>
      </w:rPr>
      <w:t>física</w:t>
    </w:r>
    <w:proofErr w:type="spellEnd"/>
    <w:r>
      <w:rPr>
        <w:sz w:val="16"/>
        <w:szCs w:val="16"/>
      </w:rPr>
      <w:t>. Financiado por SNAP del USDA. El USDA es un proveedor y empleador que ofrece oportunidades equitativas.</w:t>
    </w:r>
    <w:r>
      <w:rPr>
        <w:sz w:val="16"/>
        <w:szCs w:val="16"/>
        <w:highlight w:val="white"/>
      </w:rPr>
      <w:t xml:space="preserve"> </w:t>
    </w:r>
  </w:p>
  <w:p w14:paraId="4C807200" w14:textId="77777777" w:rsidR="007D504A" w:rsidRDefault="00CE30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22EE" w14:textId="77777777" w:rsidR="007D504A" w:rsidRDefault="007D50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0E7F3" w14:textId="77777777" w:rsidR="00CB455B" w:rsidRDefault="00CB455B">
      <w:r>
        <w:separator/>
      </w:r>
    </w:p>
  </w:footnote>
  <w:footnote w:type="continuationSeparator" w:id="0">
    <w:p w14:paraId="6AD2DF1A" w14:textId="77777777" w:rsidR="00CB455B" w:rsidRDefault="00CB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961E" w14:textId="77777777" w:rsidR="007D504A" w:rsidRDefault="00CE30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8827" w14:textId="77777777" w:rsidR="007D504A" w:rsidRDefault="007D50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3CEAC" w14:textId="77777777" w:rsidR="007D504A" w:rsidRDefault="007D50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914"/>
    <w:multiLevelType w:val="multilevel"/>
    <w:tmpl w:val="2B00E39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484FB1"/>
    <w:multiLevelType w:val="multilevel"/>
    <w:tmpl w:val="1C74F74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4A"/>
    <w:rsid w:val="00270329"/>
    <w:rsid w:val="007D504A"/>
    <w:rsid w:val="00A03A58"/>
    <w:rsid w:val="00CB455B"/>
    <w:rsid w:val="00CE30C1"/>
    <w:rsid w:val="00D43520"/>
    <w:rsid w:val="00E33ED1"/>
    <w:rsid w:val="00F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490F"/>
  <w15:docId w15:val="{C96B30C2-9553-364F-9D3A-3015153E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93"/>
      <w:ind w:left="2825" w:right="309" w:hanging="2503"/>
      <w:outlineLvl w:val="0"/>
    </w:pPr>
    <w:rPr>
      <w:b/>
      <w:sz w:val="23"/>
      <w:szCs w:val="23"/>
    </w:rPr>
  </w:style>
  <w:style w:type="paragraph" w:styleId="Heading2">
    <w:name w:val="heading 2"/>
    <w:basedOn w:val="Normal"/>
    <w:next w:val="Normal"/>
    <w:uiPriority w:val="9"/>
    <w:unhideWhenUsed/>
    <w:qFormat/>
    <w:pPr>
      <w:ind w:left="270"/>
      <w:outlineLvl w:val="1"/>
    </w:pPr>
    <w:rPr>
      <w:rFonts w:ascii="Arial-BoldItalicMT" w:eastAsia="Arial-BoldItalicMT" w:hAnsi="Arial-BoldItalicMT" w:cs="Arial-BoldItalicMT"/>
      <w:b/>
      <w:i/>
      <w:sz w:val="23"/>
      <w:szCs w:val="2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B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B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B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509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E3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2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12D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2E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3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A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ns.usda.gov/tn/guide-smart-snacks-school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ealth.gov/dietaryguidelines/2015/guideline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Sez7ucvZyCmzruv3O30ofvPANw==">AMUW2mUMRpIdhKKZ4d0TdpK0LI4L1uABY4j2/YhvfF9I/kDk1jtH0FFculCKcngGkSslVbK9Ay7tH5lzcXZrLtssiVMy7mX1UiMbJRHUVdJb2PgO/3TPbQdhrt4MB7A9pF4/Hc0iU4G1eVCK5LnkAQz48C61iWI2RVdsaNoyszhCSWq8Oz+lRNNSU6eUs1nzMT83sQFgVPy6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2019-07-31T23:32:00Z</cp:lastPrinted>
  <dcterms:created xsi:type="dcterms:W3CDTF">2019-08-07T23:04:00Z</dcterms:created>
  <dcterms:modified xsi:type="dcterms:W3CDTF">2019-08-07T23:04:00Z</dcterms:modified>
</cp:coreProperties>
</file>